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4AB" w:rsidRPr="00FB14AB" w:rsidRDefault="00FB14AB" w:rsidP="00FB14AB">
      <w:pPr>
        <w:pBdr>
          <w:bottom w:val="single" w:sz="6" w:space="2" w:color="DDDDDD"/>
        </w:pBd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</w:pPr>
      <w:r w:rsidRPr="00FB14AB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В 2022 ГОДУ ВСЕМИРНЫЙ ДЕНЬ ЗАЩИТЫ ПРАВ ПОТРЕБИТЕЛЕЙ БУДЕТ ОТМЕЧАТЬСЯ ПОД ДЕВИЗОМ «СПРАВЕДЛИВЫЕ ЦИФРОВЫЕ ФИНАНСОВЫЕ УСЛУГИ»</w:t>
      </w:r>
    </w:p>
    <w:p w:rsidR="00FB14AB" w:rsidRPr="00FB14AB" w:rsidRDefault="00FB14AB" w:rsidP="00FB14A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bookmarkStart w:id="0" w:name="_GoBack"/>
      <w:bookmarkEnd w:id="0"/>
    </w:p>
    <w:p w:rsidR="00FB14AB" w:rsidRPr="00FB14AB" w:rsidRDefault="00FB14AB" w:rsidP="00FB14AB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Международная организация потребителей объявила, что девизом Всемирного дня прав потребителей, в 2022 году будет отмечаться под девизом «Справедливые цифровые финансовые услуги».</w:t>
      </w:r>
    </w:p>
    <w:p w:rsidR="00FB14AB" w:rsidRPr="00FB14AB" w:rsidRDefault="00FB14AB" w:rsidP="00FB14AB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Пандемия СOVID-19 усилила тенденцию, связанную с развитием цифровых услуг. Исследования показывают, насколько быстро происходит развитие цифровых финансов. Ожидается, что к 2024 году число потребителей цифровых банковских услуг превысит 3,6 миллиарда человек (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Juniper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Research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2020). В развивающихся странах доля владельцев счетов, отправляющих и получающих электронные платежи, выросла с 57 % в 2014 году до 70 % в 2017 году (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Findex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2017). 39 % компаний считают внедрение финансовых технологий своим приоритетом, подчеркивая мировой спрос на более инновационный финансовый ландшафт (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JDSpura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2020).</w:t>
      </w:r>
    </w:p>
    <w:p w:rsidR="00FB14AB" w:rsidRPr="00FB14AB" w:rsidRDefault="00FB14AB" w:rsidP="00FB14AB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 2020 году Россия вошла в топ-5 стран по отказу от наличных, а пандемия ускорила изменения в индустрии платежей, которые обычно занимают около 10 лет. Впервые о «русском чуде» заговорили в 2019 году, когда по итогам 2010 – 2018 годов был выявлен феноменальный, 30-кратный рост числа безналичных карточных транзакций: с 5,8 до 172 в год на человека. Тогда по этому показателю Россия обогнала все страны Европы, в том числе лидеров, которые за тот же период показали двух- и трехкратный рост (исследование 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Boston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Consulting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spellStart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Group</w:t>
      </w:r>
      <w:proofErr w:type="spellEnd"/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2019). Однако в таких условиях существенно возрастает и риск финансового мошенничества, а отдельные категории граждан могут быть ограничены в доступе к услугам, которые перестают оказываться в традиционных каналах.</w:t>
      </w:r>
    </w:p>
    <w:p w:rsidR="00FB14AB" w:rsidRPr="00FB14AB" w:rsidRDefault="00FB14AB" w:rsidP="00FB14AB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последние годы, особенно в аспекте перехода на дистанционные каналы обслуживания, оказалось очевидным, что скорость развития мошеннических систем в банковской сфере существенно превышает скорость построения защиты от таких противозаконных действий.</w:t>
      </w:r>
    </w:p>
    <w:p w:rsidR="00FB14AB" w:rsidRPr="00FB14AB" w:rsidRDefault="00FB14AB" w:rsidP="00FB14AB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Финансовые организации зачастую не разъясняют клиентам как эффективно и безопасно пользоваться услугой. В результате доверчивые и пожилые клиенты становятся объектом интереса для мошенников, также «безналичное потребление» создает новые и усугубляет традиционные риски для тех, кто находится в уязвимом положении и не готов к таким динамичным переменам.</w:t>
      </w:r>
    </w:p>
    <w:p w:rsidR="00FB14AB" w:rsidRPr="00FB14AB" w:rsidRDefault="00FB14AB" w:rsidP="00FB14AB">
      <w:pPr>
        <w:shd w:val="clear" w:color="auto" w:fill="FFFFFF"/>
        <w:spacing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Одной из основных задач по развитию отрасли информационных технологий в России является развитие инфраструктуры электронной коммерции, которая определена в Стратегии развития отрасли информационных технологий в Российской Федерации на 2014–2020 годы и на перспективу до 2025 года, утвержденной распоряжением Правительства Российской Федерации от 1 ноября 2013 года № 2036-р.</w:t>
      </w:r>
      <w:r w:rsidRPr="00FB14AB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В документе отмечено, что развитие цифровой экономики не должно ущемлять интересов граждан. В связи с этим, защита потребителей в сфере электронной коммерции, осуществляемой хозяйствующими субъектами посредством информационно-телекоммуникационных сетей, обозначена среди ожидаемых результатов реализации Стратегии государственной политики Российской Федерации в области защиты прав потребителей на период до 2030 года, утвержденной распоряжением Правительства Российской Федерации от 28 августа 2017 г. № 1837-р.</w:t>
      </w:r>
    </w:p>
    <w:p w:rsidR="004254CF" w:rsidRDefault="004254CF"/>
    <w:sectPr w:rsidR="00425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040043"/>
    <w:multiLevelType w:val="multilevel"/>
    <w:tmpl w:val="8F148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573"/>
    <w:rsid w:val="004254CF"/>
    <w:rsid w:val="007C5573"/>
    <w:rsid w:val="00FB1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17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35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8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469</Words>
  <Characters>2675</Characters>
  <Application>Microsoft Office Word</Application>
  <DocSecurity>0</DocSecurity>
  <Lines>22</Lines>
  <Paragraphs>6</Paragraphs>
  <ScaleCrop>false</ScaleCrop>
  <Company/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3</cp:revision>
  <dcterms:created xsi:type="dcterms:W3CDTF">2022-02-17T09:02:00Z</dcterms:created>
  <dcterms:modified xsi:type="dcterms:W3CDTF">2022-02-17T09:03:00Z</dcterms:modified>
</cp:coreProperties>
</file>